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4264"/>
        <w:gridCol w:w="6095"/>
      </w:tblGrid>
      <w:tr w:rsidR="00650EF9">
        <w:trPr>
          <w:trHeight w:val="2516"/>
        </w:trPr>
        <w:tc>
          <w:tcPr>
            <w:tcW w:w="4264" w:type="dxa"/>
          </w:tcPr>
          <w:p w:rsidR="00650EF9" w:rsidRDefault="00066737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619375" cy="15883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619375" cy="158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one" w:sz="4" w:space="0" w:color="000000"/>
            </w:tcBorders>
          </w:tcPr>
          <w:p w:rsidR="00650EF9" w:rsidRDefault="00650EF9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650EF9" w:rsidRDefault="00066737">
            <w:pPr>
              <w:jc w:val="center"/>
              <w:rPr>
                <w:b/>
                <w:color w:val="4A442A"/>
                <w:sz w:val="28"/>
                <w:szCs w:val="28"/>
              </w:rPr>
            </w:pPr>
            <w:r>
              <w:rPr>
                <w:b/>
                <w:color w:val="4A442A"/>
                <w:sz w:val="28"/>
                <w:szCs w:val="28"/>
              </w:rPr>
              <w:t xml:space="preserve">ПАМЯТКА </w:t>
            </w:r>
          </w:p>
          <w:p w:rsidR="00650EF9" w:rsidRDefault="00650EF9">
            <w:pPr>
              <w:ind w:left="70"/>
              <w:jc w:val="center"/>
              <w:rPr>
                <w:color w:val="632423"/>
              </w:rPr>
            </w:pPr>
          </w:p>
          <w:p w:rsidR="00650EF9" w:rsidRDefault="00066737">
            <w:pPr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Предоставление ежемесячной денежной выплаты ветеранам труда Иркутской области, переехавшим на постоянное место жительства за пределы Иркутской области</w:t>
            </w:r>
          </w:p>
          <w:p w:rsidR="00650EF9" w:rsidRDefault="00650EF9">
            <w:pPr>
              <w:ind w:left="495"/>
              <w:jc w:val="center"/>
              <w:outlineLvl w:val="0"/>
              <w:rPr>
                <w:b/>
                <w:color w:val="771F27"/>
              </w:rPr>
            </w:pPr>
          </w:p>
        </w:tc>
      </w:tr>
    </w:tbl>
    <w:p w:rsidR="00650EF9" w:rsidRDefault="00650EF9">
      <w:pPr>
        <w:jc w:val="center"/>
      </w:pPr>
    </w:p>
    <w:p w:rsidR="00650EF9" w:rsidRDefault="00066737">
      <w:pPr>
        <w:jc w:val="center"/>
        <w:rPr>
          <w:b/>
          <w:color w:val="4A442A"/>
          <w:sz w:val="22"/>
          <w:szCs w:val="22"/>
        </w:rPr>
      </w:pPr>
      <w:r>
        <w:rPr>
          <w:b/>
          <w:color w:val="4A442A"/>
          <w:sz w:val="22"/>
          <w:szCs w:val="22"/>
        </w:rPr>
        <w:t>ЗАКОН ИРКУТСКОЙ ОБЛАСТИ</w:t>
      </w:r>
    </w:p>
    <w:p w:rsidR="00650EF9" w:rsidRDefault="00066737">
      <w:pPr>
        <w:jc w:val="center"/>
        <w:rPr>
          <w:b/>
          <w:color w:val="4A442A"/>
          <w:sz w:val="22"/>
          <w:szCs w:val="22"/>
        </w:rPr>
      </w:pPr>
      <w:r>
        <w:rPr>
          <w:b/>
          <w:color w:val="4A442A"/>
          <w:sz w:val="22"/>
          <w:szCs w:val="22"/>
        </w:rPr>
        <w:t xml:space="preserve">от 13.07.2018 N 72-ОЗ «О ВЕТЕРАНАХ ТРУДА ИРКУТСКОЙ ОБЛАСТИ» </w:t>
      </w:r>
    </w:p>
    <w:p w:rsidR="00650EF9" w:rsidRDefault="00650EF9">
      <w:pPr>
        <w:jc w:val="center"/>
        <w:rPr>
          <w:color w:val="5F497A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24" w:space="0" w:color="632423"/>
          <w:left w:val="single" w:sz="24" w:space="0" w:color="632423"/>
          <w:bottom w:val="single" w:sz="24" w:space="0" w:color="632423"/>
          <w:right w:val="single" w:sz="24" w:space="0" w:color="632423"/>
          <w:insideH w:val="single" w:sz="24" w:space="0" w:color="632423"/>
          <w:insideV w:val="single" w:sz="24" w:space="0" w:color="632423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221"/>
      </w:tblGrid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shd w:val="clear" w:color="auto" w:fill="EEECE1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1. Категории граждан</w:t>
            </w:r>
          </w:p>
        </w:tc>
        <w:tc>
          <w:tcPr>
            <w:tcW w:w="8221" w:type="dxa"/>
            <w:shd w:val="clear" w:color="auto" w:fill="EEECE1"/>
          </w:tcPr>
          <w:p w:rsidR="00650EF9" w:rsidRDefault="00066737">
            <w:pPr>
              <w:shd w:val="clear" w:color="auto" w:fill="EEECE1"/>
              <w:ind w:firstLine="540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Ветераны труда Иркутской области, переехавшие на постоянное место жительства за пределы Иркутской области</w:t>
            </w:r>
          </w:p>
          <w:p w:rsidR="00650EF9" w:rsidRDefault="00650EF9">
            <w:pPr>
              <w:shd w:val="clear" w:color="auto" w:fill="EEECE1"/>
              <w:ind w:firstLine="540"/>
              <w:jc w:val="both"/>
              <w:rPr>
                <w:color w:val="632423"/>
                <w:szCs w:val="23"/>
              </w:rPr>
            </w:pPr>
          </w:p>
        </w:tc>
      </w:tr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shd w:val="clear" w:color="auto" w:fill="EEECE1"/>
              <w:outlineLvl w:val="0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2. Меры социальной поддержки</w:t>
            </w:r>
          </w:p>
          <w:p w:rsidR="00650EF9" w:rsidRDefault="00650EF9">
            <w:pPr>
              <w:shd w:val="clear" w:color="auto" w:fill="EEECE1"/>
              <w:outlineLvl w:val="0"/>
              <w:rPr>
                <w:color w:val="632423"/>
                <w:szCs w:val="23"/>
              </w:rPr>
            </w:pPr>
          </w:p>
          <w:p w:rsidR="00650EF9" w:rsidRDefault="00066737">
            <w:pPr>
              <w:shd w:val="clear" w:color="auto" w:fill="EEECE1"/>
              <w:outlineLvl w:val="0"/>
              <w:rPr>
                <w:color w:val="632423"/>
                <w:szCs w:val="23"/>
              </w:rPr>
            </w:pPr>
            <w:r>
              <w:rPr>
                <w:b/>
                <w:color w:val="632423"/>
                <w:szCs w:val="23"/>
              </w:rPr>
              <w:t>Размер выплаты с</w:t>
            </w:r>
            <w:r>
              <w:rPr>
                <w:color w:val="632423"/>
                <w:szCs w:val="23"/>
              </w:rPr>
              <w:t xml:space="preserve"> </w:t>
            </w:r>
            <w:r>
              <w:rPr>
                <w:b/>
                <w:color w:val="632423"/>
                <w:szCs w:val="23"/>
              </w:rPr>
              <w:t>1 января 2023 года</w:t>
            </w:r>
          </w:p>
          <w:p w:rsidR="00650EF9" w:rsidRDefault="00650EF9">
            <w:pPr>
              <w:shd w:val="clear" w:color="auto" w:fill="EEECE1"/>
              <w:rPr>
                <w:color w:val="632423"/>
                <w:szCs w:val="23"/>
              </w:rPr>
            </w:pPr>
          </w:p>
        </w:tc>
        <w:tc>
          <w:tcPr>
            <w:tcW w:w="8221" w:type="dxa"/>
            <w:shd w:val="clear" w:color="auto" w:fill="EEECE1"/>
          </w:tcPr>
          <w:p w:rsidR="00650EF9" w:rsidRDefault="00066737">
            <w:pPr>
              <w:shd w:val="clear" w:color="auto" w:fill="EEECE1"/>
              <w:ind w:firstLine="540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 xml:space="preserve">Ежемесячная денежная выплата в размере </w:t>
            </w:r>
            <w:r>
              <w:rPr>
                <w:b/>
                <w:color w:val="632423"/>
                <w:szCs w:val="23"/>
              </w:rPr>
              <w:t>597,13 руб.</w:t>
            </w:r>
            <w:r>
              <w:rPr>
                <w:color w:val="632423"/>
                <w:szCs w:val="23"/>
              </w:rPr>
              <w:t xml:space="preserve"> </w:t>
            </w:r>
          </w:p>
          <w:p w:rsidR="00650EF9" w:rsidRDefault="00650EF9">
            <w:pPr>
              <w:shd w:val="clear" w:color="auto" w:fill="EEECE1"/>
              <w:ind w:firstLine="540"/>
              <w:jc w:val="both"/>
              <w:rPr>
                <w:color w:val="632423"/>
                <w:szCs w:val="23"/>
              </w:rPr>
            </w:pPr>
          </w:p>
        </w:tc>
      </w:tr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shd w:val="clear" w:color="auto" w:fill="EEECE1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3</w:t>
            </w:r>
            <w:r>
              <w:rPr>
                <w:color w:val="632423"/>
                <w:szCs w:val="23"/>
              </w:rPr>
              <w:t>. Куда обращаться</w:t>
            </w:r>
          </w:p>
        </w:tc>
        <w:tc>
          <w:tcPr>
            <w:tcW w:w="8221" w:type="dxa"/>
            <w:shd w:val="clear" w:color="auto" w:fill="FDE9D9"/>
          </w:tcPr>
          <w:p w:rsidR="00650EF9" w:rsidRDefault="00066737">
            <w:pPr>
              <w:shd w:val="clear" w:color="auto" w:fill="EEECE1"/>
              <w:ind w:firstLine="612"/>
              <w:jc w:val="both"/>
              <w:outlineLvl w:val="1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С заявлением в</w:t>
            </w:r>
            <w:r>
              <w:rPr>
                <w:color w:val="632423"/>
                <w:szCs w:val="23"/>
              </w:rPr>
              <w:t xml:space="preserve"> учреждение социальной защиты населения по последнему месту жительства гражданина на территории Иркутской области (далее – учреждение)</w:t>
            </w:r>
          </w:p>
          <w:p w:rsidR="00650EF9" w:rsidRDefault="00650EF9">
            <w:pPr>
              <w:shd w:val="clear" w:color="auto" w:fill="EEECE1"/>
              <w:ind w:firstLine="612"/>
              <w:jc w:val="both"/>
              <w:outlineLvl w:val="1"/>
              <w:rPr>
                <w:color w:val="632423"/>
                <w:szCs w:val="23"/>
              </w:rPr>
            </w:pPr>
          </w:p>
        </w:tc>
      </w:tr>
      <w:tr w:rsidR="00650EF9">
        <w:trPr>
          <w:trHeight w:val="508"/>
        </w:trPr>
        <w:tc>
          <w:tcPr>
            <w:tcW w:w="2269" w:type="dxa"/>
            <w:shd w:val="clear" w:color="auto" w:fill="EEECE1"/>
          </w:tcPr>
          <w:p w:rsidR="00650EF9" w:rsidRDefault="00066737">
            <w:pPr>
              <w:shd w:val="clear" w:color="auto" w:fill="EEECE1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4</w:t>
            </w:r>
            <w:r w:rsidRPr="00066737">
              <w:rPr>
                <w:color w:val="632423"/>
                <w:szCs w:val="23"/>
              </w:rPr>
              <w:t>. Документы (сведения), необходимые для назначения ежемесячной денежной выплаты</w:t>
            </w:r>
          </w:p>
        </w:tc>
        <w:tc>
          <w:tcPr>
            <w:tcW w:w="8221" w:type="dxa"/>
            <w:shd w:val="clear" w:color="auto" w:fill="FDE9D9"/>
          </w:tcPr>
          <w:p w:rsidR="00650EF9" w:rsidRDefault="00066737">
            <w:pPr>
              <w:shd w:val="clear" w:color="auto" w:fill="EEECE1"/>
              <w:ind w:firstLine="318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 xml:space="preserve">1) заявления о назначении ежемесячной денежной выплаты по </w:t>
            </w:r>
            <w:bookmarkStart w:id="0" w:name="_GoBack"/>
            <w:bookmarkEnd w:id="0"/>
            <w:r>
              <w:rPr>
                <w:color w:val="632423"/>
                <w:szCs w:val="23"/>
              </w:rPr>
              <w:t>утвержденной форме</w:t>
            </w:r>
            <w:r>
              <w:rPr>
                <w:color w:val="632423"/>
                <w:szCs w:val="23"/>
              </w:rPr>
              <w:t>;</w:t>
            </w:r>
          </w:p>
          <w:p w:rsidR="00650EF9" w:rsidRDefault="00066737">
            <w:pPr>
              <w:shd w:val="clear" w:color="auto" w:fill="EEECE1"/>
              <w:ind w:firstLine="318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2) заявления о ежегодном подтверждении</w:t>
            </w:r>
            <w:r>
              <w:rPr>
                <w:color w:val="632423"/>
                <w:szCs w:val="23"/>
              </w:rPr>
              <w:t xml:space="preserve"> права на дальнейшее получение ежемесячной денежной выплаты, в котором сообщается о неполучении ежемесячной денежной выплаты в соответствии с другим нормативным правовым актом).</w:t>
            </w:r>
          </w:p>
          <w:p w:rsidR="00650EF9" w:rsidRDefault="00066737">
            <w:pPr>
              <w:shd w:val="clear" w:color="auto" w:fill="EEECE1"/>
              <w:ind w:firstLine="318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По результатам рассмотрения заявления ветерану труда Иркутской области, переех</w:t>
            </w:r>
            <w:r>
              <w:rPr>
                <w:color w:val="632423"/>
                <w:szCs w:val="23"/>
              </w:rPr>
              <w:t>авшему на постоянное место жительства за пределы Иркутской области, направляется уведомление о предоставлении ежемесячной денежной выплаты с указанием срока предоставления ежемесячной денежной выплаты.</w:t>
            </w:r>
          </w:p>
          <w:p w:rsidR="00650EF9" w:rsidRDefault="00650EF9">
            <w:pPr>
              <w:shd w:val="clear" w:color="auto" w:fill="EEECE1"/>
              <w:ind w:firstLine="318"/>
              <w:jc w:val="both"/>
              <w:rPr>
                <w:color w:val="632423"/>
                <w:szCs w:val="23"/>
              </w:rPr>
            </w:pPr>
          </w:p>
          <w:p w:rsidR="00650EF9" w:rsidRDefault="00650EF9">
            <w:pPr>
              <w:shd w:val="clear" w:color="auto" w:fill="EEECE1"/>
              <w:ind w:firstLine="318"/>
              <w:jc w:val="both"/>
              <w:rPr>
                <w:color w:val="632423"/>
                <w:szCs w:val="23"/>
              </w:rPr>
            </w:pPr>
          </w:p>
        </w:tc>
      </w:tr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shd w:val="clear" w:color="auto" w:fill="EEECE1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5. Условия</w:t>
            </w:r>
          </w:p>
        </w:tc>
        <w:tc>
          <w:tcPr>
            <w:tcW w:w="8221" w:type="dxa"/>
            <w:shd w:val="clear" w:color="auto" w:fill="FDE9D9"/>
          </w:tcPr>
          <w:p w:rsidR="00650EF9" w:rsidRDefault="00066737">
            <w:pPr>
              <w:shd w:val="clear" w:color="auto" w:fill="EEECE1"/>
              <w:ind w:firstLine="463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Заявление о подтверждении права на дальнейшее получение ежемесячной денежной выплаты представляется в течение 3-х месяцев до истечения срока предоставления ежемесячной денежной выплаты.</w:t>
            </w:r>
          </w:p>
          <w:p w:rsidR="00650EF9" w:rsidRDefault="00066737">
            <w:pPr>
              <w:shd w:val="clear" w:color="auto" w:fill="EEECE1"/>
              <w:ind w:firstLine="463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 xml:space="preserve">В случае непредставления заявления о ежегодном подтверждении права на </w:t>
            </w:r>
            <w:r>
              <w:rPr>
                <w:color w:val="632423"/>
                <w:szCs w:val="23"/>
              </w:rPr>
              <w:t>дальнейшее получение ежемесячной денежной выплаты по истечении срока предоставления указанной выплаты предоставление ежемесячной денежной выплаты прекращается. В таком случае ветеран труда Иркутской области, переехавший на постоянное место жительства за пр</w:t>
            </w:r>
            <w:r>
              <w:rPr>
                <w:color w:val="632423"/>
                <w:szCs w:val="23"/>
              </w:rPr>
              <w:t>еделы Иркутской области, вправе вновь подать заявление о назначении ежемесячной денежной выплаты.</w:t>
            </w:r>
          </w:p>
          <w:p w:rsidR="00650EF9" w:rsidRDefault="00066737">
            <w:pPr>
              <w:shd w:val="clear" w:color="auto" w:fill="EEECE1"/>
              <w:ind w:firstLine="463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Предоставление ежемесячной денежной выплаты на основании заявления о назначении ежемесячной денежной выплаты осуществляется с первого числа месяца, следующего</w:t>
            </w:r>
            <w:r>
              <w:rPr>
                <w:color w:val="632423"/>
                <w:szCs w:val="23"/>
              </w:rPr>
              <w:t xml:space="preserve"> за месяцем подачи заявления.</w:t>
            </w:r>
          </w:p>
          <w:p w:rsidR="00650EF9" w:rsidRDefault="00066737">
            <w:pPr>
              <w:shd w:val="clear" w:color="auto" w:fill="EEECE1"/>
              <w:ind w:firstLine="463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lastRenderedPageBreak/>
              <w:t>Если ветеран труда Иркутской области, переехавший на постоянное место жительства за пределы Иркутской области, одновременно имеет право на одни и те же меры социальной поддержки по настоящему Закону и по другому правовому акту</w:t>
            </w:r>
            <w:r>
              <w:rPr>
                <w:color w:val="632423"/>
                <w:szCs w:val="23"/>
              </w:rPr>
              <w:t>, меры социальной поддержки предоставляются по выбору либо по настоящему Закону, либо по другому правовому акту.</w:t>
            </w:r>
          </w:p>
        </w:tc>
      </w:tr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lastRenderedPageBreak/>
              <w:t>6. Периодичность предоставления денежных средств</w:t>
            </w:r>
          </w:p>
        </w:tc>
        <w:tc>
          <w:tcPr>
            <w:tcW w:w="8221" w:type="dxa"/>
            <w:shd w:val="clear" w:color="auto" w:fill="EEECE1"/>
          </w:tcPr>
          <w:p w:rsidR="00650EF9" w:rsidRDefault="00066737">
            <w:pPr>
              <w:ind w:firstLine="459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 xml:space="preserve">Ежемесячно </w:t>
            </w:r>
            <w:r>
              <w:rPr>
                <w:color w:val="632423"/>
                <w:szCs w:val="23"/>
              </w:rPr>
              <w:t>путем зачисления денежных средств на счет гражданина, открытый в кредитной организации.</w:t>
            </w:r>
          </w:p>
          <w:p w:rsidR="00650EF9" w:rsidRDefault="00650EF9">
            <w:pPr>
              <w:ind w:firstLine="459"/>
              <w:jc w:val="both"/>
              <w:rPr>
                <w:color w:val="632423"/>
                <w:szCs w:val="23"/>
              </w:rPr>
            </w:pPr>
          </w:p>
        </w:tc>
      </w:tr>
      <w:tr w:rsidR="00650EF9">
        <w:tc>
          <w:tcPr>
            <w:tcW w:w="2269" w:type="dxa"/>
            <w:shd w:val="clear" w:color="auto" w:fill="EEECE1"/>
          </w:tcPr>
          <w:p w:rsidR="00650EF9" w:rsidRDefault="00066737">
            <w:pPr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7. Способы подачи заявления</w:t>
            </w:r>
          </w:p>
        </w:tc>
        <w:tc>
          <w:tcPr>
            <w:tcW w:w="8221" w:type="dxa"/>
            <w:shd w:val="clear" w:color="auto" w:fill="EEECE1"/>
          </w:tcPr>
          <w:p w:rsidR="00650EF9" w:rsidRDefault="00066737">
            <w:pPr>
              <w:ind w:firstLine="459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Заявление о назначении, заявление о подтверждении права на дальнейшее получение могут быть поданы одним из способов:</w:t>
            </w:r>
          </w:p>
          <w:p w:rsidR="00650EF9" w:rsidRDefault="00066737">
            <w:pPr>
              <w:ind w:firstLine="459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путем личного обращения в учреждение;</w:t>
            </w:r>
          </w:p>
          <w:p w:rsidR="00650EF9" w:rsidRDefault="00066737">
            <w:pPr>
              <w:ind w:firstLine="459"/>
              <w:jc w:val="both"/>
              <w:rPr>
                <w:color w:val="632423"/>
                <w:szCs w:val="23"/>
              </w:rPr>
            </w:pPr>
            <w:r>
              <w:rPr>
                <w:color w:val="632423"/>
                <w:szCs w:val="23"/>
              </w:rPr>
              <w:t>через организации почтовой связи.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632423"/>
                <w:szCs w:val="23"/>
              </w:rPr>
              <w:t>В этом случае, граждан направляет заявление, заверенное нотариусом или должностным лицом, уполномоченным в соответствии с действующим законодательством на совершение нотариальных дейст</w:t>
            </w:r>
            <w:r>
              <w:rPr>
                <w:color w:val="632423"/>
                <w:szCs w:val="23"/>
              </w:rPr>
              <w:t>вий</w:t>
            </w:r>
          </w:p>
          <w:p w:rsidR="00650EF9" w:rsidRDefault="00650EF9">
            <w:pPr>
              <w:ind w:firstLine="459"/>
              <w:jc w:val="both"/>
              <w:rPr>
                <w:color w:val="632423"/>
                <w:szCs w:val="23"/>
              </w:rPr>
            </w:pPr>
          </w:p>
        </w:tc>
      </w:tr>
    </w:tbl>
    <w:p w:rsidR="00000000" w:rsidRDefault="00066737"/>
    <w:sectPr w:rsidR="00000000">
      <w:pgSz w:w="11906" w:h="16838"/>
      <w:pgMar w:top="539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F9" w:rsidRDefault="00066737">
      <w:r>
        <w:separator/>
      </w:r>
    </w:p>
  </w:endnote>
  <w:endnote w:type="continuationSeparator" w:id="0">
    <w:p w:rsidR="00650EF9" w:rsidRDefault="0006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F9" w:rsidRDefault="00066737">
      <w:r>
        <w:separator/>
      </w:r>
    </w:p>
  </w:footnote>
  <w:footnote w:type="continuationSeparator" w:id="0">
    <w:p w:rsidR="00650EF9" w:rsidRDefault="0006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F9"/>
    <w:rsid w:val="00066737"/>
    <w:rsid w:val="006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6CBA-FCD8-4DA5-9245-E850AE3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31</cp:revision>
  <dcterms:created xsi:type="dcterms:W3CDTF">2022-01-11T01:41:00Z</dcterms:created>
  <dcterms:modified xsi:type="dcterms:W3CDTF">2023-01-10T09:46:00Z</dcterms:modified>
  <cp:version>1048576</cp:version>
</cp:coreProperties>
</file>